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A35C" w14:textId="738F0D1D" w:rsidR="00651100" w:rsidRDefault="0059289A" w:rsidP="00A56CEA">
      <w:pPr>
        <w:jc w:val="right"/>
      </w:pPr>
      <w:r>
        <w:rPr>
          <w:noProof/>
        </w:rPr>
        <w:drawing>
          <wp:inline distT="0" distB="0" distL="0" distR="0" wp14:anchorId="51F71675" wp14:editId="1CA521A7">
            <wp:extent cx="2231657" cy="743886"/>
            <wp:effectExtent l="0" t="0" r="3810" b="5715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90" cy="79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347F" w14:textId="3F30BDA1" w:rsidR="005B3157" w:rsidRPr="00A92B9D" w:rsidRDefault="002C704C" w:rsidP="00934569">
      <w:pPr>
        <w:pStyle w:val="Heading1"/>
        <w:spacing w:before="0"/>
      </w:pPr>
      <w:r>
        <w:t>COPT Content Outline</w:t>
      </w:r>
    </w:p>
    <w:p w14:paraId="0EB027BF" w14:textId="77777777" w:rsidR="002C704C" w:rsidRDefault="002C704C" w:rsidP="002C704C">
      <w:pPr>
        <w:spacing w:after="0"/>
        <w:contextualSpacing/>
      </w:pPr>
    </w:p>
    <w:p w14:paraId="31A706DF" w14:textId="77777777" w:rsidR="002C704C" w:rsidRPr="00D53BFE" w:rsidRDefault="002C704C" w:rsidP="002C704C">
      <w:pPr>
        <w:pStyle w:val="Heading2"/>
        <w:rPr>
          <w:b/>
          <w:bCs/>
          <w:color w:val="auto"/>
        </w:rPr>
      </w:pPr>
      <w:r w:rsidRPr="00D53BFE">
        <w:rPr>
          <w:b/>
          <w:bCs/>
          <w:color w:val="auto"/>
        </w:rPr>
        <w:t xml:space="preserve">Domain I-Core Oncology Pharmacy Training: 20% </w:t>
      </w:r>
    </w:p>
    <w:p w14:paraId="6DCBB56D" w14:textId="55FEBAEA" w:rsidR="002C704C" w:rsidRPr="002756A5" w:rsidRDefault="002C704C" w:rsidP="002C704C">
      <w:pPr>
        <w:pStyle w:val="Heading2"/>
        <w:rPr>
          <w:color w:val="auto"/>
        </w:rPr>
      </w:pPr>
      <w:r w:rsidRPr="002756A5">
        <w:rPr>
          <w:color w:val="auto"/>
        </w:rPr>
        <w:t xml:space="preserve">Skills and application to apply necessary oncology pharmaceutical calculation. Practical understanding of pharmacy operation, pharmacy quality assurance, pharmacy safety compliance ordinances and </w:t>
      </w:r>
      <w:r w:rsidR="007C257B" w:rsidRPr="002756A5">
        <w:rPr>
          <w:color w:val="auto"/>
        </w:rPr>
        <w:t>qual</w:t>
      </w:r>
      <w:r w:rsidR="007C257B">
        <w:rPr>
          <w:color w:val="auto"/>
        </w:rPr>
        <w:t>i</w:t>
      </w:r>
      <w:r w:rsidR="007C257B" w:rsidRPr="002756A5">
        <w:rPr>
          <w:color w:val="auto"/>
        </w:rPr>
        <w:t>fied</w:t>
      </w:r>
      <w:r w:rsidRPr="002756A5">
        <w:rPr>
          <w:color w:val="auto"/>
        </w:rPr>
        <w:t xml:space="preserve"> pharmacy accreditation regulations</w:t>
      </w:r>
    </w:p>
    <w:p w14:paraId="1587ECF8" w14:textId="6266A582" w:rsidR="005A7EBA" w:rsidRPr="002756A5" w:rsidRDefault="002756A5" w:rsidP="005A7EBA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Knowledge of:</w:t>
      </w:r>
    </w:p>
    <w:p w14:paraId="599DEAB3" w14:textId="1FB21FA6" w:rsidR="002C704C" w:rsidRPr="00D53BFE" w:rsidRDefault="002C704C" w:rsidP="005A7EBA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D53BFE">
        <w:rPr>
          <w:szCs w:val="24"/>
        </w:rPr>
        <w:t xml:space="preserve">Pharmaceutical Calculations: BSA, CrCl, </w:t>
      </w:r>
      <w:r w:rsidRPr="00D53BFE">
        <w:rPr>
          <w:rFonts w:ascii="Calibri" w:eastAsia="Times New Roman" w:hAnsi="Calibri" w:cs="Calibri"/>
          <w:szCs w:val="24"/>
        </w:rPr>
        <w:t xml:space="preserve">mg/kg </w:t>
      </w:r>
    </w:p>
    <w:p w14:paraId="1A41BF81" w14:textId="77777777" w:rsidR="002C704C" w:rsidRPr="00D53BFE" w:rsidRDefault="002C704C" w:rsidP="002C704C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D53BFE">
        <w:rPr>
          <w:szCs w:val="24"/>
        </w:rPr>
        <w:t>USP 800, storage and handling, spills, PPE, inventory management, Lot/Expiration, Proper disposal</w:t>
      </w:r>
    </w:p>
    <w:p w14:paraId="675C6F9C" w14:textId="77777777" w:rsidR="002C704C" w:rsidRPr="00D53BFE" w:rsidRDefault="002C704C" w:rsidP="002C704C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D53BFE">
        <w:rPr>
          <w:szCs w:val="24"/>
        </w:rPr>
        <w:t>Basic Standard Operating Procedures purpose/guidelines</w:t>
      </w:r>
    </w:p>
    <w:p w14:paraId="603292E7" w14:textId="19856386" w:rsidR="002C704C" w:rsidRPr="00D53BFE" w:rsidRDefault="002C704C" w:rsidP="002C704C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D53BFE">
        <w:rPr>
          <w:szCs w:val="24"/>
        </w:rPr>
        <w:t xml:space="preserve">Identifying the major bodies of pharmacy accreditation and their individual standards </w:t>
      </w:r>
    </w:p>
    <w:p w14:paraId="2D47C9F2" w14:textId="77777777" w:rsidR="002756A5" w:rsidRPr="002C704C" w:rsidRDefault="002756A5" w:rsidP="002756A5">
      <w:pPr>
        <w:pStyle w:val="ListParagraph"/>
        <w:spacing w:after="0"/>
        <w:rPr>
          <w:szCs w:val="24"/>
        </w:rPr>
      </w:pPr>
    </w:p>
    <w:p w14:paraId="0A589CB7" w14:textId="77777777" w:rsidR="00F47C3E" w:rsidRPr="00D53BFE" w:rsidRDefault="00CA4573" w:rsidP="002C704C">
      <w:pPr>
        <w:pStyle w:val="Heading2"/>
        <w:rPr>
          <w:b/>
          <w:bCs/>
          <w:color w:val="auto"/>
          <w:szCs w:val="28"/>
        </w:rPr>
      </w:pPr>
      <w:r w:rsidRPr="00D53BFE">
        <w:rPr>
          <w:b/>
          <w:bCs/>
          <w:color w:val="auto"/>
          <w:szCs w:val="28"/>
        </w:rPr>
        <w:t>Domain II-Clinical Oncology Skills and Patient Management: 30%</w:t>
      </w:r>
    </w:p>
    <w:p w14:paraId="1C5BB6CD" w14:textId="041B34BF" w:rsidR="005A7EBA" w:rsidRPr="002756A5" w:rsidRDefault="00CA4573" w:rsidP="005A7EBA">
      <w:pPr>
        <w:pStyle w:val="Heading2"/>
        <w:rPr>
          <w:color w:val="auto"/>
          <w:szCs w:val="28"/>
        </w:rPr>
      </w:pPr>
      <w:r w:rsidRPr="002756A5">
        <w:rPr>
          <w:color w:val="auto"/>
          <w:szCs w:val="28"/>
        </w:rPr>
        <w:t xml:space="preserve">Quality improvement through side effect management, adherence, and compliance through assessment and identifying when a pharmacist intervention is required. Description and </w:t>
      </w:r>
      <w:r w:rsidR="00F47C3E" w:rsidRPr="002756A5">
        <w:rPr>
          <w:color w:val="auto"/>
          <w:szCs w:val="28"/>
        </w:rPr>
        <w:t>interpretation</w:t>
      </w:r>
      <w:r w:rsidRPr="002756A5">
        <w:rPr>
          <w:color w:val="auto"/>
          <w:szCs w:val="28"/>
        </w:rPr>
        <w:t xml:space="preserve"> of laboratory values associ</w:t>
      </w:r>
      <w:r w:rsidR="00F47C3E" w:rsidRPr="002756A5">
        <w:rPr>
          <w:color w:val="auto"/>
          <w:szCs w:val="28"/>
        </w:rPr>
        <w:t xml:space="preserve">ated </w:t>
      </w:r>
      <w:r w:rsidRPr="002756A5">
        <w:rPr>
          <w:color w:val="auto"/>
          <w:szCs w:val="28"/>
        </w:rPr>
        <w:t xml:space="preserve">with oral oncolytics. </w:t>
      </w:r>
      <w:r w:rsidR="00F47C3E" w:rsidRPr="002756A5">
        <w:rPr>
          <w:color w:val="auto"/>
          <w:szCs w:val="28"/>
        </w:rPr>
        <w:t>Comprehension</w:t>
      </w:r>
      <w:r w:rsidRPr="002756A5">
        <w:rPr>
          <w:color w:val="auto"/>
          <w:szCs w:val="28"/>
        </w:rPr>
        <w:t xml:space="preserve"> of different diagnostic and interventional radiology </w:t>
      </w:r>
      <w:r w:rsidR="007C257B">
        <w:rPr>
          <w:color w:val="auto"/>
          <w:szCs w:val="28"/>
        </w:rPr>
        <w:t xml:space="preserve">studies with understanding and basic </w:t>
      </w:r>
      <w:r w:rsidR="00F47C3E" w:rsidRPr="002756A5">
        <w:rPr>
          <w:color w:val="auto"/>
          <w:szCs w:val="28"/>
        </w:rPr>
        <w:t>translation of findings</w:t>
      </w:r>
    </w:p>
    <w:p w14:paraId="0619BD0D" w14:textId="4E5F7FDA" w:rsidR="002756A5" w:rsidRPr="002756A5" w:rsidRDefault="002756A5" w:rsidP="002756A5">
      <w:pPr>
        <w:pStyle w:val="Heading1"/>
        <w:spacing w:before="0"/>
        <w:rPr>
          <w:sz w:val="24"/>
          <w:szCs w:val="24"/>
        </w:rPr>
      </w:pPr>
      <w:r w:rsidRPr="002756A5">
        <w:rPr>
          <w:sz w:val="24"/>
          <w:szCs w:val="24"/>
        </w:rPr>
        <w:t>Knowledge of:</w:t>
      </w:r>
    </w:p>
    <w:p w14:paraId="7A135824" w14:textId="37A2917D" w:rsidR="00F47C3E" w:rsidRPr="00D53BFE" w:rsidRDefault="00F47C3E" w:rsidP="002756A5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CBC</w:t>
      </w:r>
    </w:p>
    <w:p w14:paraId="53294FDE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CMP</w:t>
      </w:r>
    </w:p>
    <w:p w14:paraId="72E9DBFA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ANC</w:t>
      </w:r>
    </w:p>
    <w:p w14:paraId="10A8E7FB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Liver functions values</w:t>
      </w:r>
    </w:p>
    <w:p w14:paraId="3AD839DD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Tumor Markers and their reference ranges</w:t>
      </w:r>
    </w:p>
    <w:p w14:paraId="1430972C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PET scan/PET/CT</w:t>
      </w:r>
    </w:p>
    <w:p w14:paraId="27243C31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CAT scans</w:t>
      </w:r>
    </w:p>
    <w:p w14:paraId="3425E909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X-rays</w:t>
      </w:r>
    </w:p>
    <w:p w14:paraId="2D69D1D1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Bone Density</w:t>
      </w:r>
    </w:p>
    <w:p w14:paraId="4FA306B5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Bone Scans</w:t>
      </w:r>
    </w:p>
    <w:p w14:paraId="3C45280B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Biopsy, surgery-pathology reports</w:t>
      </w:r>
    </w:p>
    <w:p w14:paraId="441E031D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 xml:space="preserve">Vital signs and their reference ranges </w:t>
      </w:r>
    </w:p>
    <w:p w14:paraId="4E6A5690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Grade levels/scales for side effects/adverse reactions</w:t>
      </w:r>
    </w:p>
    <w:p w14:paraId="6087A2C9" w14:textId="77777777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 xml:space="preserve">Oncolytics waring and precautions </w:t>
      </w:r>
    </w:p>
    <w:p w14:paraId="4E7CD601" w14:textId="3CDE9AF0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lastRenderedPageBreak/>
        <w:t>Treatment support kits</w:t>
      </w:r>
    </w:p>
    <w:p w14:paraId="42EAC8A5" w14:textId="3B980FDE" w:rsidR="00F47C3E" w:rsidRPr="00D53BFE" w:rsidRDefault="00F47C3E" w:rsidP="00F47C3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 w:rsidRPr="00D53BFE">
        <w:rPr>
          <w:szCs w:val="24"/>
        </w:rPr>
        <w:t>Correct usage of NCODA Resources-OCE, IVE, PQI</w:t>
      </w:r>
    </w:p>
    <w:p w14:paraId="53A588CB" w14:textId="107DC916" w:rsidR="002756A5" w:rsidRDefault="002756A5" w:rsidP="002756A5">
      <w:pPr>
        <w:pStyle w:val="ListParagraph"/>
        <w:spacing w:after="0"/>
        <w:rPr>
          <w:szCs w:val="24"/>
        </w:rPr>
      </w:pPr>
    </w:p>
    <w:p w14:paraId="449815B4" w14:textId="77777777" w:rsidR="002756A5" w:rsidRPr="00F47C3E" w:rsidRDefault="002756A5" w:rsidP="002756A5">
      <w:pPr>
        <w:pStyle w:val="ListParagraph"/>
        <w:spacing w:after="0"/>
        <w:rPr>
          <w:szCs w:val="24"/>
        </w:rPr>
      </w:pPr>
    </w:p>
    <w:p w14:paraId="70433D45" w14:textId="77777777" w:rsidR="00F47C3E" w:rsidRPr="00D53BFE" w:rsidRDefault="00F47C3E" w:rsidP="00F47C3E">
      <w:pPr>
        <w:pStyle w:val="Heading2"/>
        <w:rPr>
          <w:b/>
          <w:bCs/>
          <w:color w:val="auto"/>
          <w:szCs w:val="28"/>
        </w:rPr>
      </w:pPr>
      <w:r w:rsidRPr="00D53BFE">
        <w:rPr>
          <w:b/>
          <w:bCs/>
          <w:color w:val="auto"/>
          <w:szCs w:val="28"/>
        </w:rPr>
        <w:t xml:space="preserve">Domain III-Oncology Pharmacy Billing: 20% </w:t>
      </w:r>
    </w:p>
    <w:p w14:paraId="03F35A32" w14:textId="0CD6611A" w:rsidR="002C704C" w:rsidRPr="002756A5" w:rsidRDefault="00F47C3E" w:rsidP="00F47C3E">
      <w:pPr>
        <w:pStyle w:val="Heading2"/>
        <w:rPr>
          <w:color w:val="auto"/>
        </w:rPr>
      </w:pPr>
      <w:r w:rsidRPr="002756A5">
        <w:rPr>
          <w:color w:val="auto"/>
          <w:szCs w:val="28"/>
        </w:rPr>
        <w:t>Recognition and comprehension of different healthcare plan to accurately process oral oncolytic as determined by indication and diagnosis. Efficiently process and obtain prior authorization, and financial assistance if needed.</w:t>
      </w:r>
    </w:p>
    <w:p w14:paraId="6FB480D2" w14:textId="3E09055B" w:rsidR="002756A5" w:rsidRPr="002756A5" w:rsidRDefault="002756A5" w:rsidP="002756A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Knowledge of:</w:t>
      </w:r>
    </w:p>
    <w:p w14:paraId="2E52E9F7" w14:textId="60FABE72" w:rsidR="00F47C3E" w:rsidRPr="00D53BFE" w:rsidRDefault="00F47C3E" w:rsidP="002756A5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Oncolytic Billing, billing per cycle, quantity, and day supply</w:t>
      </w:r>
    </w:p>
    <w:p w14:paraId="3DE6856B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 xml:space="preserve">Insurance verification </w:t>
      </w:r>
    </w:p>
    <w:p w14:paraId="4F9927CC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Identify all parts of Medicare, Federal Plans</w:t>
      </w:r>
    </w:p>
    <w:p w14:paraId="4198935A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Medicare Part B, Medicare part B Drugs, specific billing rules, regulations, and compliances</w:t>
      </w:r>
    </w:p>
    <w:p w14:paraId="1559C029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Medicare Advantage</w:t>
      </w:r>
    </w:p>
    <w:p w14:paraId="2F2D9DEB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Tri-Care/Tricare Prime</w:t>
      </w:r>
    </w:p>
    <w:p w14:paraId="040FFC9E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Medicaid and Low-Income subsidy</w:t>
      </w:r>
    </w:p>
    <w:p w14:paraId="745AEE5F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Commercial Plans</w:t>
      </w:r>
    </w:p>
    <w:p w14:paraId="5F779C75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Medical Billing vs. Pharmacy Billing</w:t>
      </w:r>
    </w:p>
    <w:p w14:paraId="0ABA2EB7" w14:textId="77777777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Navigating patient assistance options</w:t>
      </w:r>
    </w:p>
    <w:p w14:paraId="239EDFC6" w14:textId="46F038E2" w:rsidR="00F47C3E" w:rsidRPr="00D53BFE" w:rsidRDefault="00F47C3E" w:rsidP="00F47C3E">
      <w:pPr>
        <w:pStyle w:val="ListParagraph"/>
        <w:numPr>
          <w:ilvl w:val="0"/>
          <w:numId w:val="6"/>
        </w:numPr>
        <w:spacing w:after="0"/>
        <w:rPr>
          <w:szCs w:val="24"/>
        </w:rPr>
      </w:pPr>
      <w:r w:rsidRPr="00D53BFE">
        <w:rPr>
          <w:szCs w:val="24"/>
        </w:rPr>
        <w:t>Prior authorization procedure</w:t>
      </w:r>
    </w:p>
    <w:p w14:paraId="08C323E0" w14:textId="77777777" w:rsidR="002756A5" w:rsidRPr="00D53BFE" w:rsidRDefault="002756A5" w:rsidP="002756A5">
      <w:pPr>
        <w:spacing w:after="0"/>
        <w:rPr>
          <w:b/>
          <w:bCs/>
          <w:szCs w:val="24"/>
        </w:rPr>
      </w:pPr>
    </w:p>
    <w:p w14:paraId="27188D8E" w14:textId="77777777" w:rsidR="00D53BFE" w:rsidRPr="00D53BFE" w:rsidRDefault="00F47C3E" w:rsidP="00F47C3E">
      <w:pPr>
        <w:pStyle w:val="Heading2"/>
        <w:rPr>
          <w:b/>
          <w:bCs/>
          <w:color w:val="auto"/>
          <w:szCs w:val="28"/>
        </w:rPr>
      </w:pPr>
      <w:r w:rsidRPr="00D53BFE">
        <w:rPr>
          <w:b/>
          <w:bCs/>
          <w:color w:val="auto"/>
          <w:szCs w:val="28"/>
        </w:rPr>
        <w:t xml:space="preserve">Domain IV-Oral Oncolytics: 30% </w:t>
      </w:r>
    </w:p>
    <w:p w14:paraId="4E29882A" w14:textId="488EBDEA" w:rsidR="002C704C" w:rsidRPr="002756A5" w:rsidRDefault="00F47C3E" w:rsidP="00F47C3E">
      <w:pPr>
        <w:pStyle w:val="Heading2"/>
        <w:rPr>
          <w:color w:val="auto"/>
        </w:rPr>
      </w:pPr>
      <w:r w:rsidRPr="002756A5">
        <w:rPr>
          <w:color w:val="auto"/>
          <w:szCs w:val="28"/>
        </w:rPr>
        <w:t>Appropriately identify oral oncolytics b</w:t>
      </w:r>
      <w:r w:rsidR="005A7EBA" w:rsidRPr="002756A5">
        <w:rPr>
          <w:color w:val="auto"/>
          <w:szCs w:val="28"/>
        </w:rPr>
        <w:t xml:space="preserve">y brand/generic name, indication and correct dosing for treatment </w:t>
      </w:r>
    </w:p>
    <w:p w14:paraId="3460E6AB" w14:textId="65C16297" w:rsidR="002756A5" w:rsidRPr="002756A5" w:rsidRDefault="002756A5" w:rsidP="002756A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Knowledge of:</w:t>
      </w:r>
    </w:p>
    <w:p w14:paraId="622818CB" w14:textId="5E75251B" w:rsidR="005A7EBA" w:rsidRPr="00D53BFE" w:rsidRDefault="005A7EBA" w:rsidP="002756A5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D53BFE">
        <w:rPr>
          <w:szCs w:val="24"/>
        </w:rPr>
        <w:t>Oral Oncolytics-Brand names, Generic names</w:t>
      </w:r>
    </w:p>
    <w:p w14:paraId="374C1484" w14:textId="0EF6372F" w:rsidR="005A7EBA" w:rsidRPr="00D53BFE" w:rsidRDefault="005A7EBA" w:rsidP="005A7EBA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D53BFE">
        <w:rPr>
          <w:szCs w:val="24"/>
        </w:rPr>
        <w:t>Strengths, directions per indication, dosing, and administration</w:t>
      </w:r>
    </w:p>
    <w:p w14:paraId="50D07A55" w14:textId="77777777" w:rsidR="005A7EBA" w:rsidRPr="00D53BFE" w:rsidRDefault="005A7EBA" w:rsidP="005A7EBA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D53BFE">
        <w:rPr>
          <w:szCs w:val="24"/>
        </w:rPr>
        <w:t>Dose adjustments: Adverse events, decrease weight</w:t>
      </w:r>
    </w:p>
    <w:p w14:paraId="4E86DB54" w14:textId="0A2549B4" w:rsidR="00A92B9D" w:rsidRPr="00D53BFE" w:rsidRDefault="005A7EBA" w:rsidP="005A7EBA">
      <w:pPr>
        <w:pStyle w:val="ListParagraph"/>
        <w:numPr>
          <w:ilvl w:val="0"/>
          <w:numId w:val="7"/>
        </w:numPr>
        <w:spacing w:after="0"/>
        <w:rPr>
          <w:szCs w:val="24"/>
        </w:rPr>
      </w:pPr>
      <w:r w:rsidRPr="00D53BFE">
        <w:rPr>
          <w:szCs w:val="24"/>
        </w:rPr>
        <w:t>Indication of Oncolytics including supportive prescriptions medications/OTC medications</w:t>
      </w:r>
    </w:p>
    <w:sectPr w:rsidR="00A92B9D" w:rsidRPr="00D53BFE" w:rsidSect="00A56CEA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4C05" w14:textId="77777777" w:rsidR="00703AFF" w:rsidRDefault="00703AFF" w:rsidP="004700BA">
      <w:r>
        <w:separator/>
      </w:r>
    </w:p>
  </w:endnote>
  <w:endnote w:type="continuationSeparator" w:id="0">
    <w:p w14:paraId="18416F4C" w14:textId="77777777" w:rsidR="00703AFF" w:rsidRDefault="00703AFF" w:rsidP="0047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0EF" w14:textId="18B8F154" w:rsidR="002F6DCD" w:rsidRPr="00CB2ED8" w:rsidRDefault="005A7EBA" w:rsidP="002F6DC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260"/>
      </w:tabs>
      <w:rPr>
        <w:sz w:val="20"/>
      </w:rPr>
    </w:pPr>
    <w:r>
      <w:rPr>
        <w:sz w:val="20"/>
      </w:rPr>
      <w:t>COPT Content Outline</w:t>
    </w:r>
    <w:r w:rsidR="002F6DCD" w:rsidRPr="00CB2ED8">
      <w:rPr>
        <w:sz w:val="20"/>
      </w:rPr>
      <w:tab/>
      <w:t xml:space="preserve">Page </w:t>
    </w:r>
    <w:r w:rsidR="002F6DCD" w:rsidRPr="00CB2ED8">
      <w:rPr>
        <w:b/>
        <w:sz w:val="20"/>
      </w:rPr>
      <w:fldChar w:fldCharType="begin"/>
    </w:r>
    <w:r w:rsidR="002F6DCD" w:rsidRPr="00CB2ED8">
      <w:rPr>
        <w:b/>
        <w:sz w:val="20"/>
      </w:rPr>
      <w:instrText xml:space="preserve"> PAGE </w:instrText>
    </w:r>
    <w:r w:rsidR="002F6DCD" w:rsidRPr="00CB2ED8">
      <w:rPr>
        <w:b/>
        <w:sz w:val="20"/>
      </w:rPr>
      <w:fldChar w:fldCharType="separate"/>
    </w:r>
    <w:r w:rsidR="00A56CEA">
      <w:rPr>
        <w:b/>
        <w:noProof/>
        <w:sz w:val="20"/>
      </w:rPr>
      <w:t>1</w:t>
    </w:r>
    <w:r w:rsidR="002F6DCD" w:rsidRPr="00CB2ED8">
      <w:rPr>
        <w:b/>
        <w:sz w:val="20"/>
      </w:rPr>
      <w:fldChar w:fldCharType="end"/>
    </w:r>
    <w:r w:rsidR="002F6DCD" w:rsidRPr="00CB2ED8">
      <w:rPr>
        <w:sz w:val="20"/>
      </w:rPr>
      <w:t xml:space="preserve"> of </w:t>
    </w:r>
    <w:r w:rsidR="002F6DCD" w:rsidRPr="00CB2ED8">
      <w:rPr>
        <w:b/>
        <w:sz w:val="20"/>
      </w:rPr>
      <w:fldChar w:fldCharType="begin"/>
    </w:r>
    <w:r w:rsidR="002F6DCD" w:rsidRPr="00CB2ED8">
      <w:rPr>
        <w:b/>
        <w:sz w:val="20"/>
      </w:rPr>
      <w:instrText xml:space="preserve"> NUMPAGES  </w:instrText>
    </w:r>
    <w:r w:rsidR="002F6DCD" w:rsidRPr="00CB2ED8">
      <w:rPr>
        <w:b/>
        <w:sz w:val="20"/>
      </w:rPr>
      <w:fldChar w:fldCharType="separate"/>
    </w:r>
    <w:r w:rsidR="00A56CEA">
      <w:rPr>
        <w:b/>
        <w:noProof/>
        <w:sz w:val="20"/>
      </w:rPr>
      <w:t>1</w:t>
    </w:r>
    <w:r w:rsidR="002F6DCD" w:rsidRPr="00CB2ED8">
      <w:rPr>
        <w:b/>
        <w:sz w:val="20"/>
      </w:rPr>
      <w:fldChar w:fldCharType="end"/>
    </w:r>
  </w:p>
  <w:p w14:paraId="0C0513BB" w14:textId="097887EB" w:rsidR="00FA00A5" w:rsidRDefault="00FA00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BF2E" w14:textId="77777777" w:rsidR="00703AFF" w:rsidRDefault="00703AFF" w:rsidP="004700BA">
      <w:r>
        <w:separator/>
      </w:r>
    </w:p>
  </w:footnote>
  <w:footnote w:type="continuationSeparator" w:id="0">
    <w:p w14:paraId="1BDFC11D" w14:textId="77777777" w:rsidR="00703AFF" w:rsidRDefault="00703AFF" w:rsidP="0047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44C4" w14:textId="3CA3552E" w:rsidR="005B3157" w:rsidRDefault="005B3157" w:rsidP="00E52D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553"/>
    <w:multiLevelType w:val="hybridMultilevel"/>
    <w:tmpl w:val="D4CE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B63"/>
    <w:multiLevelType w:val="hybridMultilevel"/>
    <w:tmpl w:val="4F96A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190F"/>
    <w:multiLevelType w:val="hybridMultilevel"/>
    <w:tmpl w:val="DF62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13A2"/>
    <w:multiLevelType w:val="hybridMultilevel"/>
    <w:tmpl w:val="C324D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2CAB"/>
    <w:multiLevelType w:val="hybridMultilevel"/>
    <w:tmpl w:val="C652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27B1"/>
    <w:multiLevelType w:val="hybridMultilevel"/>
    <w:tmpl w:val="69B233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73C8"/>
    <w:multiLevelType w:val="hybridMultilevel"/>
    <w:tmpl w:val="1938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468063">
    <w:abstractNumId w:val="0"/>
  </w:num>
  <w:num w:numId="2" w16cid:durableId="1115060860">
    <w:abstractNumId w:val="6"/>
  </w:num>
  <w:num w:numId="3" w16cid:durableId="528109860">
    <w:abstractNumId w:val="4"/>
  </w:num>
  <w:num w:numId="4" w16cid:durableId="1994481982">
    <w:abstractNumId w:val="2"/>
  </w:num>
  <w:num w:numId="5" w16cid:durableId="281885268">
    <w:abstractNumId w:val="5"/>
  </w:num>
  <w:num w:numId="6" w16cid:durableId="554656808">
    <w:abstractNumId w:val="1"/>
  </w:num>
  <w:num w:numId="7" w16cid:durableId="1899003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7"/>
    <w:rsid w:val="00007529"/>
    <w:rsid w:val="0003184E"/>
    <w:rsid w:val="00033FD0"/>
    <w:rsid w:val="000969B5"/>
    <w:rsid w:val="000B3386"/>
    <w:rsid w:val="000F2322"/>
    <w:rsid w:val="001E36D4"/>
    <w:rsid w:val="00266DED"/>
    <w:rsid w:val="002756A5"/>
    <w:rsid w:val="002B06F7"/>
    <w:rsid w:val="002C704C"/>
    <w:rsid w:val="002F6DCD"/>
    <w:rsid w:val="003809EC"/>
    <w:rsid w:val="004700BA"/>
    <w:rsid w:val="00491FA7"/>
    <w:rsid w:val="0050713D"/>
    <w:rsid w:val="0059289A"/>
    <w:rsid w:val="005A7EBA"/>
    <w:rsid w:val="005B3157"/>
    <w:rsid w:val="005E1FC8"/>
    <w:rsid w:val="00651100"/>
    <w:rsid w:val="00703AFF"/>
    <w:rsid w:val="00742551"/>
    <w:rsid w:val="00780744"/>
    <w:rsid w:val="007C257B"/>
    <w:rsid w:val="007D704A"/>
    <w:rsid w:val="00812660"/>
    <w:rsid w:val="00866637"/>
    <w:rsid w:val="008A781B"/>
    <w:rsid w:val="008D6C86"/>
    <w:rsid w:val="00930DEB"/>
    <w:rsid w:val="00934569"/>
    <w:rsid w:val="009B1055"/>
    <w:rsid w:val="00A31CC1"/>
    <w:rsid w:val="00A56CEA"/>
    <w:rsid w:val="00A67A93"/>
    <w:rsid w:val="00A92B9D"/>
    <w:rsid w:val="00AC4489"/>
    <w:rsid w:val="00B028A0"/>
    <w:rsid w:val="00C07A7A"/>
    <w:rsid w:val="00CA4573"/>
    <w:rsid w:val="00CE1C42"/>
    <w:rsid w:val="00D12CF7"/>
    <w:rsid w:val="00D53BFE"/>
    <w:rsid w:val="00E05595"/>
    <w:rsid w:val="00E12001"/>
    <w:rsid w:val="00E52DE1"/>
    <w:rsid w:val="00EB7874"/>
    <w:rsid w:val="00F154FC"/>
    <w:rsid w:val="00F47C3E"/>
    <w:rsid w:val="00F906F2"/>
    <w:rsid w:val="00FA00A5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7D433"/>
  <w15:chartTrackingRefBased/>
  <w15:docId w15:val="{D05B4519-860B-47FB-A886-715706F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BA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9D"/>
    <w:pPr>
      <w:keepNext/>
      <w:keepLines/>
      <w:pBdr>
        <w:bottom w:val="single" w:sz="12" w:space="1" w:color="C45911" w:themeColor="accent2" w:themeShade="BF"/>
      </w:pBdr>
      <w:spacing w:before="240" w:after="0"/>
      <w:outlineLvl w:val="0"/>
    </w:pPr>
    <w:rPr>
      <w:rFonts w:eastAsiaTheme="majorEastAsia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B9D"/>
    <w:pPr>
      <w:pBdr>
        <w:top w:val="single" w:sz="8" w:space="1" w:color="1F4E79" w:themeColor="accent1" w:themeShade="80"/>
        <w:bottom w:val="single" w:sz="8" w:space="1" w:color="1F4E79" w:themeColor="accent1" w:themeShade="80"/>
      </w:pBdr>
      <w:outlineLvl w:val="1"/>
    </w:pPr>
    <w:rPr>
      <w:color w:val="C45911" w:themeColor="accen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B5"/>
    <w:pPr>
      <w:keepNext/>
      <w:keepLines/>
      <w:spacing w:before="40" w:after="0"/>
      <w:outlineLvl w:val="2"/>
    </w:pPr>
    <w:rPr>
      <w:rFonts w:eastAsiaTheme="majorEastAsia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4FC"/>
    <w:pPr>
      <w:keepNext/>
      <w:keepLines/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B9D"/>
    <w:rPr>
      <w:rFonts w:ascii="Arial" w:eastAsiaTheme="majorEastAsia" w:hAnsi="Arial" w:cs="Arial"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3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3157"/>
  </w:style>
  <w:style w:type="paragraph" w:styleId="Footer">
    <w:name w:val="footer"/>
    <w:basedOn w:val="Normal"/>
    <w:link w:val="FooterChar"/>
    <w:unhideWhenUsed/>
    <w:rsid w:val="005B3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B3157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7A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A7A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92B9D"/>
    <w:rPr>
      <w:rFonts w:ascii="Arial" w:hAnsi="Arial" w:cs="Arial"/>
      <w:color w:val="C45911" w:themeColor="accent2" w:themeShade="BF"/>
      <w:sz w:val="28"/>
    </w:rPr>
  </w:style>
  <w:style w:type="character" w:styleId="Emphasis">
    <w:name w:val="Emphasis"/>
    <w:basedOn w:val="DefaultParagraphFont"/>
    <w:uiPriority w:val="20"/>
    <w:qFormat/>
    <w:rsid w:val="00F906F2"/>
    <w:rPr>
      <w:b/>
      <w:i w:val="0"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969B5"/>
    <w:rPr>
      <w:rFonts w:ascii="Arial" w:eastAsiaTheme="majorEastAsia" w:hAnsi="Arial" w:cs="Arial"/>
      <w:b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54FC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B5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Sturgeon</dc:creator>
  <cp:keywords/>
  <dc:description/>
  <cp:lastModifiedBy>Taryn Newsome</cp:lastModifiedBy>
  <cp:revision>3</cp:revision>
  <dcterms:created xsi:type="dcterms:W3CDTF">2022-07-20T17:59:00Z</dcterms:created>
  <dcterms:modified xsi:type="dcterms:W3CDTF">2022-11-10T18:36:00Z</dcterms:modified>
</cp:coreProperties>
</file>